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2" w:rsidRPr="00C36442" w:rsidRDefault="00C36442" w:rsidP="00A45DD1">
      <w:pPr>
        <w:spacing w:after="0" w:line="337" w:lineRule="atLeast"/>
        <w:jc w:val="center"/>
        <w:textAlignment w:val="baseline"/>
        <w:outlineLvl w:val="0"/>
        <w:rPr>
          <w:rFonts w:ascii="Georgia" w:eastAsia="Times New Roman" w:hAnsi="Georgia" w:cs="Helvetica"/>
          <w:b/>
          <w:kern w:val="36"/>
          <w:sz w:val="23"/>
          <w:szCs w:val="23"/>
          <w:lang w:eastAsia="ru-RU"/>
        </w:rPr>
      </w:pPr>
      <w:bookmarkStart w:id="0" w:name="_Toc379881172"/>
      <w:r w:rsidRPr="00C36442">
        <w:rPr>
          <w:rFonts w:ascii="Georgia" w:eastAsia="Times New Roman" w:hAnsi="Georgia" w:cs="Helvetica"/>
          <w:b/>
          <w:kern w:val="36"/>
          <w:sz w:val="32"/>
          <w:szCs w:val="32"/>
          <w:bdr w:val="none" w:sz="0" w:space="0" w:color="auto" w:frame="1"/>
          <w:lang w:eastAsia="ru-RU"/>
        </w:rPr>
        <w:t>Требования к ППЭ</w:t>
      </w:r>
      <w:bookmarkEnd w:id="0"/>
    </w:p>
    <w:p w:rsidR="00C36442" w:rsidRPr="00872CE7" w:rsidRDefault="00C36442" w:rsidP="00C36442">
      <w:pPr>
        <w:spacing w:after="0" w:line="270" w:lineRule="atLeast"/>
        <w:ind w:firstLine="709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Пункт проведения экзамена (ППЭ) – здание (сооружение), которое можно использовать для проведения ОГЭ. Количество, общая площадь и состояние помещений, предоставляемых для проведения ОГЭ,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Количество ППЭ определяется исходя из общей численности участников ОГЭ, территориальной доступности и вместимости аудиторного фонда.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Количество ППЭ должно формироваться с учетом максимально возможного наполнения ППЭ и оптимальной схемы организованного прибытия участников ОГЭ в ППЭ.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каждом ППЭ необходимо обеспечить наличие аудитории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для участников с ОВЗ, а также предусмотрены условия для участников с ОВЗ: наличие пандусов, размещение аудитории с учетом беспрепятственного доступа.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Аудитории для участников с ОВЗ готовятся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с учетом состояния здоровья, особенности психофизического развития и индивидуальных возможностей (аудитория для участников с ОВЗ должна располагаться на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1 этаже ППЭ).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день проведения экзамена в ППЭ присутствуют: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а) руководитель экзамена и организаторы ППЭ;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б) уполномоченный представитель ГЭК;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в)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г) руководитель образовательной организации, в помещениях которой организован ППЭ, или уполномоченное им лицо;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) сотрудники, осуществляющие охрану правопорядка, и (или) сотрудники органов внутренних дел (полиции);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е) медицинские работники и ассистенты, оказывающие необходимую техническую помощь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, указанным в пункте 34 Порядка, в том числе непосредственно при проведении экзамена;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ж) специалист по проведению инструктажа и обеспечению лабораторных работ;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) экзаменатор-собеседник, ведущий собеседование при проведении устной части экзамена по иностранному языку, в случае, если спецификацией КИМ предусмотрено ведение диалога экзаменатора с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и) эксперты, оценивающие устные ответы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при проведении устной части экзамена по иностранному языку, в случае, если спецификацией КИМ предусмотрено ведение диалога экзаменатора с обучающимся;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к) эксперты, оценивающие выполнение лабораторных работ по химии, в случае, если спецификацией КИМ предусмотрено выполнение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лабораторной работы;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л) представители образовательных организаций, сопровождающих участников ОГЭ.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день проведения экзамена в ППЭ могут присутствовать также: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а) должностные лица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, органа исполнительной власти субъекта Российской Федерации, осуществляющего переданные полномочия Российской Федерации в сфере образования;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б) представители средств массовой информации (присутствуют в аудиториях для проведения экзамена только до момента начала выполнения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экзаменационной работы);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в) общественные наблюдатели, аккредитованные в установленном порядке (могут свободно перемещаются по ППЭ, при этом в одной аудитории находится только один общественный наблюдатель).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Организация помещений ППЭ</w:t>
      </w:r>
    </w:p>
    <w:p w:rsidR="00C36442" w:rsidRPr="00872CE7" w:rsidRDefault="00C36442" w:rsidP="00C36442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ППЭ должны быть организованы: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а) Аудитории для участников ОГЭ.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Для каждого участника ОГЭ должно быть выделено отдельное рабочее место.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аудитории выделяется место для личных вещей участников ОГЭ;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б) Помещение (аудитория) для руководителя ППЭ, оборудованное телефонной связью,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экзамена, сейфом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для осуществления безопасного хранения экзаменационных материалов, сканером (при необходимости);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в) Помещение для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медицинского работника в ППЭ;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г) Помещение для руководителя образовательной организации (уполномоченного лица), на базе которого располагается ППЭ.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Так же в ППЭ должны быть предусмотрены: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а) Помещение для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представителей образовательных организаций, сопровождающих обучающихся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б) Помещения для представителей средств массовой информации (присутствуют в аудиториях для проведения экзамена только до момента начала выполнения обучающимися экзаменационной работы), общественных наблюдателей (могут свободно перемещаются по ППЭ, при этом в одной аудитории находится только один общественный наблюдатель) и иных лиц, имеющих право присутствовать в ППЭ в день экзамена.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Указанные помещения должны быть изолированы от аудиторий для проведения экзамена.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Помещения, не использующиеся для проведения экзамена, на время проведения экзамена запираются и опечатываются.</w:t>
      </w:r>
    </w:p>
    <w:p w:rsidR="00C36442" w:rsidRPr="00872CE7" w:rsidRDefault="00C36442" w:rsidP="00C36442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Готовность ППЭ и аудиторий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До начала экзамена руководитель ППЭ и руководитель организации, на базе которой организован ППЭ, должны обеспечить готовность ППЭ, проверить соответствие всех помещений, выделяемых для проведения ОГЭ, установленным требованиям и заполнить протокол готовности ППЭ.</w:t>
      </w:r>
      <w:r w:rsidRPr="00872CE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аудиториях ППЭ должно быть: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рабочее место для организаторов в аудитории;</w:t>
      </w:r>
    </w:p>
    <w:p w:rsidR="00C36442" w:rsidRPr="00872CE7" w:rsidRDefault="00C36442" w:rsidP="00C36442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подготовлены часы, находящиеся в поле зрения участников ОГЭ;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закрыты стенды, плакаты и иные материалы со справочно-познавательной информацией по соответствующим учебным</w:t>
      </w:r>
      <w:r w:rsidRPr="00872CE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предметам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36442" w:rsidRPr="00872CE7" w:rsidRDefault="00C36442" w:rsidP="00C36442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Особенности подготовки аудиторий по отдельным учебным предметам</w:t>
      </w:r>
    </w:p>
    <w:p w:rsidR="00C36442" w:rsidRPr="00872CE7" w:rsidRDefault="00C36442" w:rsidP="00C36442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 по физике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 физике проводится в кабинетах, отвечающие требованиям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безопасного труда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при выполнении экспериментальных заданий экзаменационной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работы.</w:t>
      </w:r>
      <w:proofErr w:type="gramEnd"/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На этапе выполнения экспериментального задания участники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используют лабораторное оборудование.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Лабораторное оборудование размещается в аудитории на специально выделенном столе.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физике (например – лаборант). Не допускается привлекать к проведению лабораторных работ специалиста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 этому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учебному предмету, а также специалиста,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преподававшего данный предмет у данных обучающихся.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Выдача лабораторного оборудования осуществляется специалистом по обеспечению лабораторных работ.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Выбор лабораторного оборудования, необходимого для выполнения экспериментального задания, каждый участник осуществляет самостоятельно, исходя из содержания экспериментального задания выполняемого им КИМ.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pacing w:val="5"/>
          <w:sz w:val="28"/>
          <w:szCs w:val="28"/>
          <w:bdr w:val="none" w:sz="0" w:space="0" w:color="auto" w:frame="1"/>
          <w:lang w:eastAsia="ru-RU"/>
        </w:rPr>
        <w:t>Комплекты лабораторного оборудования для выполнения экспериментальных заданий формируются заблаговременно,</w:t>
      </w:r>
      <w:r w:rsidRPr="00872CE7">
        <w:rPr>
          <w:rFonts w:ascii="Times New Roman" w:eastAsia="Times New Roman" w:hAnsi="Times New Roman"/>
          <w:color w:val="373737"/>
          <w:spacing w:val="5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за один-два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дня</w:t>
      </w:r>
      <w:r w:rsidRPr="00872CE7">
        <w:rPr>
          <w:rFonts w:ascii="Times New Roman" w:eastAsia="Times New Roman" w:hAnsi="Times New Roman"/>
          <w:color w:val="373737"/>
          <w:spacing w:val="-6"/>
          <w:sz w:val="24"/>
          <w:szCs w:val="24"/>
          <w:bdr w:val="none" w:sz="0" w:space="0" w:color="auto" w:frame="1"/>
          <w:lang w:eastAsia="ru-RU"/>
        </w:rPr>
        <w:t>до</w:t>
      </w:r>
      <w:proofErr w:type="spellEnd"/>
      <w:r w:rsidRPr="00872CE7">
        <w:rPr>
          <w:rFonts w:ascii="Times New Roman" w:eastAsia="Times New Roman" w:hAnsi="Times New Roman"/>
          <w:color w:val="373737"/>
          <w:spacing w:val="-6"/>
          <w:sz w:val="24"/>
          <w:szCs w:val="24"/>
          <w:bdr w:val="none" w:sz="0" w:space="0" w:color="auto" w:frame="1"/>
          <w:lang w:eastAsia="ru-RU"/>
        </w:rPr>
        <w:t xml:space="preserve"> проведения экзамена.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Каждый комплект оборудования должен быть помещен в собственный лоток.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Необходимо проверить работоспособность комплектов оборудования по электричеству и оптике!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безопасности, обнаружения неисправности оборудования или других нештатных ситуаций.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36442" w:rsidRPr="00872CE7" w:rsidRDefault="00C36442" w:rsidP="00C36442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 по химии</w:t>
      </w:r>
    </w:p>
    <w:p w:rsidR="00C36442" w:rsidRPr="00872CE7" w:rsidRDefault="00C36442" w:rsidP="00C36442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 химии проводится в кабинетах, отвечающие требованиям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безопасного труда при выполнении моделей экспериментальных заданий экзаменационной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работы.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химии (например – лаборант). Не допускается привлекать к проведению лабораторных работ специалиста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 этому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учебному предмету, а также специалиста,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преподававшего данный предмет у данных обучающихся.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Выдача лабораторного оборудования осуществляется специалистом по обеспечению лабораторных работ.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аудитории, в которой проводится ОГЭ по химии, должно быть установлено не менее двух раковин с подводкой воды: одна - в аудитории, другая - в лаборантском помещении.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Лаборантское помещение должно иметь два выхода (запирающиеся двери): в лабораторию и обязательный дополнительный выход в коридор (рекреацию). Аудитория и лаборантское помещение должны быть обеспечены средствами пожаротушения: огнетушитель, кошма, песок. Лаборантское помещения должно иметь мебель для организации работы лаборанта (подготовки ученического эксперимента).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Лаборантское помещение должно быть обеспечено аптечкой скорой помощи, сейфом для хранения ядовитых веществ, шкафами для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хранения реактивов и оборудования.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оформлен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ии ау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дитории должны присутствовать Периодическая система Д.И. Менделеева, таблица растворимости и электрохимический ряд напряжения металлов.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Специалист по обеспечению лабораторных работ до проведения экзамена подбирает необходимый комплект реактивов и оборудования; подбирает емкости-склянки объемом 20-50 мл с твердыми веществами или растворами веществ.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На склянках должны быть наклеены этикетки с формулами веществ, и знаки опасности.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 день проведения экзамена, подготовленные оборудование и реактивы располагаются в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лаборантской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 по литературе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кабинете должны находиться дополнительные столы, на которых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размещаются тексты художественных произведений и сборники лирики.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Перечень художественных произведений и сборников лирики выдается в «пакете руководителя». Руководитель организации, на базе которой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организован ППЭ, подготавливает необходимые тексты для каждой аудитории. Пользование личными текстами художественных произведений и сборниками лирики участникам ОГЭ запрещено.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 по информатике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аудиториях для проведения ОГЭ по информатике должны быть: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рабочие места (столы, парты) для выполнения частей 1 и 2;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компьютеры (по количеству участников плюс один резервный) для выполнения части 3.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Рабочие места, оснащенные компьютерами, обозначаются номером для автоматизированного распределения.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На индивидуальное рабочее место для выполнения практической части должно быть установлено программное обеспечение в составе: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операционная система (например,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Windows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XP);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электронные динамические таблицы для выполнения задания 1 части 3 (например,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OpenOffice.org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Calc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среда учебного исполнителя «Робот» для выполнения задания 2 части 3 (например,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КуМир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– если такая среда использовалась при обучении);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среда программирования для выполнения задания 2 части 3 (например,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Free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Pascal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КуМир</w:t>
      </w:r>
      <w:proofErr w:type="spell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).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Выход в Интернет и в локальную сеть в кабинете, где проводится экзамен по информатике, должен быть заблокирован.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Рабочий стол компьютера должен быть освобожден от программ и ярлыков, не используемых на экзамене;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Должны быть созданы на «рабочем столе» ярлыки (ссылки) для запуска всех элементов программного обеспечения.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Примечание. В случае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если установка программ, систем программирования, необходимых для проведения экзамена, невозможна без удаления операционной системы, ранее установленной на компьютере, тогда организатор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технический специалист обязан через руководителя ППЭ пригласить представителя общеобразовательного учреждения, на базе которого находится данный компьютер, с целью принятия мер по сохранению информации, содержащейся в компьютере, прежде чем на компьютере будет установлена другая операционная система.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C36442" w:rsidRPr="00872CE7" w:rsidRDefault="00C36442" w:rsidP="00C36442">
      <w:pPr>
        <w:spacing w:after="0" w:line="270" w:lineRule="atLeast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 по иностранному языку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Для проведения ОГЭ по иностранным языкам в ППЭ необходимо подготовить следующие аудитории:</w:t>
      </w:r>
    </w:p>
    <w:p w:rsidR="00C36442" w:rsidRPr="00872CE7" w:rsidRDefault="00C36442" w:rsidP="00C36442">
      <w:pPr>
        <w:spacing w:after="0" w:line="270" w:lineRule="atLeast"/>
        <w:ind w:right="-284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аудитория для проведения письменной части экзамена;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аудитория ожидания участниками ОГЭ устной части экзамена;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аудитория подготовки к устной части;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аудитория для устного ответа участника ЕГЭ (1 аудитория на одного экзаменатора-собеседника).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ППЭ назначаются: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технический специалист;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организаторы в аудитории письменной части;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организаторы в аудитории ожидания;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организаторы в аудитории подготовки;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организатор в аудитории устной части;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экзаменатор-собеседник.</w:t>
      </w:r>
    </w:p>
    <w:p w:rsidR="00C36442" w:rsidRPr="00872CE7" w:rsidRDefault="00C36442" w:rsidP="00C36442">
      <w:pPr>
        <w:spacing w:after="0" w:line="270" w:lineRule="atLeast"/>
        <w:ind w:right="-284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Дополнительно назначаются организаторы вне аудитории, обеспечивающие перемещение участников экзамена из аудитории для подготовки в аудиторию для устного ответа, а также организатор на входе в аудиторию для устного ответа.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Также назначаются организаторы аудитории ожидания, обеспечивающие перемещение участников из аудитории ожидания в аудиторию подготовки, и дежурные в аудитории ожидания.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аудитории для проведения письменной части экзамена необходимо установить звуковоспроизводящее устройство (компьютер с колонками),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обеспечивающее качественное воспроизведение аудиозаписи в формате МР3.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Все помещения, выделенные для проведения устной части ОГЭ по иностранным языкам, должны быть соответствовать следующим требованиям: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аудитории должны быть расположены таким образом, чтобы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после выхода из аудиторий для устного ответа участники экзамена, сдавшие устную часть, не имели возможности взаимодействовать с участниками, находящимися в аудитории для ожидания и в аудитории для подготовки;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аудитории для подготовки к устной части экзамена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должны быть черновики для подготовки участников ОГЭ к ответу (чистые листы бумаги, которые участники ОГЭ могут использовать во время подготовки к ответу);</w:t>
      </w:r>
    </w:p>
    <w:p w:rsidR="00C36442" w:rsidRPr="00872CE7" w:rsidRDefault="00C36442" w:rsidP="00C36442">
      <w:pPr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в каждой аудитории для устного ответа</w:t>
      </w:r>
      <w:r w:rsidRPr="00872CE7">
        <w:rPr>
          <w:rFonts w:ascii="Times New Roman" w:eastAsia="Times New Roman" w:hAnsi="Times New Roman"/>
          <w:color w:val="373737"/>
          <w:sz w:val="28"/>
          <w:lang w:eastAsia="ru-RU"/>
        </w:rPr>
        <w:t> </w:t>
      </w: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необходимо выделить рабочие места для экзаменатора-собеседника, организатора и участника экзамена</w:t>
      </w:r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оснащенное</w:t>
      </w:r>
      <w:proofErr w:type="gramEnd"/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звукозаписывающим оборудованием, обеспечивающим качественную запись устных ответов участников ОГЭ. В аудитории необходимо расположить часы таким образом, чтобы они находились в поле зрения экзаменатора и участника экзамена.</w:t>
      </w:r>
    </w:p>
    <w:p w:rsidR="00C36442" w:rsidRPr="00A45DD1" w:rsidRDefault="00C36442" w:rsidP="00A45DD1">
      <w:pPr>
        <w:spacing w:after="0" w:line="194" w:lineRule="atLeast"/>
        <w:jc w:val="center"/>
        <w:textAlignment w:val="baseline"/>
        <w:rPr>
          <w:rFonts w:ascii="Times New Roman" w:eastAsia="Times New Roman" w:hAnsi="Times New Roman"/>
          <w:b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br w:type="page"/>
      </w:r>
      <w:r w:rsidRPr="00A45DD1"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Дополнительные материалы для проведения экзаменов по отдельным учебным предметам.</w:t>
      </w:r>
    </w:p>
    <w:p w:rsidR="00C36442" w:rsidRPr="00872CE7" w:rsidRDefault="00C36442" w:rsidP="00C3644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373737"/>
          <w:sz w:val="17"/>
          <w:szCs w:val="17"/>
          <w:lang w:eastAsia="ru-RU"/>
        </w:rPr>
      </w:pPr>
      <w:r w:rsidRPr="00872CE7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5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831"/>
        <w:gridCol w:w="4630"/>
        <w:gridCol w:w="2789"/>
      </w:tblGrid>
      <w:tr w:rsidR="00C36442" w:rsidRPr="00872CE7" w:rsidTr="0009267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Экзамен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дополнительных материалов</w:t>
            </w:r>
            <w:r w:rsidRPr="00872CE7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(исполнитель)</w:t>
            </w:r>
          </w:p>
        </w:tc>
      </w:tr>
      <w:tr w:rsidR="00C36442" w:rsidRPr="00872CE7" w:rsidTr="000926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ППЭ/ОО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Участник ОГЭ</w:t>
            </w:r>
          </w:p>
        </w:tc>
      </w:tr>
      <w:tr w:rsidR="00C36442" w:rsidRPr="00872CE7" w:rsidTr="000926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справочные материалы, содержащие таблицу квадратов двузначных чисел, основные формулы по алгебре и геометрии</w:t>
            </w:r>
          </w:p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(ИК участника ОГЭ)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линейка</w:t>
            </w:r>
          </w:p>
        </w:tc>
      </w:tr>
      <w:tr w:rsidR="00C36442" w:rsidRPr="00872CE7" w:rsidTr="000926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линейка, карандаш, непрограммируемый калькулятор</w:t>
            </w:r>
          </w:p>
        </w:tc>
      </w:tr>
      <w:tr w:rsidR="00C36442" w:rsidRPr="00872CE7" w:rsidTr="000926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аппаратура, которая может обеспечить качественное воспроизведение аудиозаписей с компакт-диска (формат аудиозаписи -</w:t>
            </w:r>
            <w:r w:rsidRPr="00872CE7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mp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3), орфографический словарь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442" w:rsidRPr="00872CE7" w:rsidTr="0009267D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инструкция по правилам безопасности</w:t>
            </w: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непрограммируемый калькулятор</w:t>
            </w:r>
          </w:p>
        </w:tc>
      </w:tr>
      <w:tr w:rsidR="00C36442" w:rsidRPr="00872CE7" w:rsidTr="000926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комплекты</w:t>
            </w:r>
            <w:r w:rsidRPr="00872CE7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стандартизированного лабораторного оборудования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соответствии с перечнем. Характеристики приборов должны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быть проверены учителем физики и занесены в специальный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бланк.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442" w:rsidRPr="00872CE7" w:rsidTr="0009267D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инструкция по правилам безопасности</w:t>
            </w:r>
          </w:p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(для каждой аудитории)</w:t>
            </w: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непрограммируемый калькулятор</w:t>
            </w:r>
          </w:p>
        </w:tc>
      </w:tr>
      <w:tr w:rsidR="00C36442" w:rsidRPr="00872CE7" w:rsidTr="0009267D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справочные материалы: «Периодическая система химических элементов Д.И. Менделеева»; таблица растворимости солей, кислот и оснований в воде; электрохимический ряд напряжений металлов (ИК участника ОГЭ), модели экспериментальных заданий экзаменационной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442" w:rsidRPr="00872CE7" w:rsidTr="0009267D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51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географические атласы для 7,8, и 9 классов</w:t>
            </w:r>
          </w:p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(ОО, где обучается участник ОГЭ, обеспечивает и контролирует </w:t>
            </w:r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наличие у него атласов).</w:t>
            </w:r>
          </w:p>
          <w:p w:rsidR="00C36442" w:rsidRPr="00872CE7" w:rsidRDefault="00C36442" w:rsidP="0009267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непрограммируемый калькулятор</w:t>
            </w:r>
          </w:p>
        </w:tc>
      </w:tr>
      <w:tr w:rsidR="00C36442" w:rsidRPr="00872CE7" w:rsidTr="000926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линейка</w:t>
            </w:r>
          </w:p>
        </w:tc>
      </w:tr>
      <w:tr w:rsidR="00C36442" w:rsidRPr="00872CE7" w:rsidTr="000926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книги с текстами художественных произведений и сборники лирики, в которых не должно быть вступительных статей и комментариев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72CE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(Перечень художественных произведений и сборников лирики выдается в пакете руководителя.</w:t>
            </w:r>
            <w:proofErr w:type="gramEnd"/>
          </w:p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872CE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Руководитель организации, на базе которой организован ППЭ, подготавливает необходимые тексты для каждой аудитории).</w:t>
            </w:r>
            <w:proofErr w:type="gramEnd"/>
          </w:p>
          <w:p w:rsidR="00C36442" w:rsidRPr="00872CE7" w:rsidRDefault="00C36442" w:rsidP="0009267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36442" w:rsidRPr="00872CE7" w:rsidTr="0009267D">
        <w:trPr>
          <w:trHeight w:val="77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инструкция по правилам безопасност</w:t>
            </w:r>
            <w:proofErr w:type="gramStart"/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872CE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72CE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для каждой аудитории),</w:t>
            </w:r>
            <w:r w:rsidRPr="00872C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компьютер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36442" w:rsidRPr="00872CE7" w:rsidTr="0009267D">
        <w:trPr>
          <w:trHeight w:val="77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иностранные языки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инструкция по правилам безопасности (для каждой аудитории), компьютер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442" w:rsidRPr="00872CE7" w:rsidRDefault="00C36442" w:rsidP="000926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72CE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A2745" w:rsidRDefault="00AA2745"/>
    <w:sectPr w:rsidR="00AA2745" w:rsidSect="00AA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6442"/>
    <w:rsid w:val="001D47A3"/>
    <w:rsid w:val="00203D6B"/>
    <w:rsid w:val="004877E4"/>
    <w:rsid w:val="004B50B7"/>
    <w:rsid w:val="0051289B"/>
    <w:rsid w:val="0052411A"/>
    <w:rsid w:val="00567120"/>
    <w:rsid w:val="005808B5"/>
    <w:rsid w:val="005E47F4"/>
    <w:rsid w:val="00603DED"/>
    <w:rsid w:val="00623D9C"/>
    <w:rsid w:val="0064696E"/>
    <w:rsid w:val="006D1356"/>
    <w:rsid w:val="006F7F0D"/>
    <w:rsid w:val="00836015"/>
    <w:rsid w:val="009E6C1B"/>
    <w:rsid w:val="00A45DD1"/>
    <w:rsid w:val="00A955B0"/>
    <w:rsid w:val="00AA2745"/>
    <w:rsid w:val="00B502E3"/>
    <w:rsid w:val="00BE7E4E"/>
    <w:rsid w:val="00C36442"/>
    <w:rsid w:val="00C4777A"/>
    <w:rsid w:val="00CA4D8C"/>
    <w:rsid w:val="00D91815"/>
    <w:rsid w:val="00DB3CF0"/>
    <w:rsid w:val="00E90EEB"/>
    <w:rsid w:val="00EC7CAE"/>
    <w:rsid w:val="00F127D5"/>
    <w:rsid w:val="00FC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3</cp:revision>
  <dcterms:created xsi:type="dcterms:W3CDTF">2015-11-23T09:21:00Z</dcterms:created>
  <dcterms:modified xsi:type="dcterms:W3CDTF">2015-11-27T01:44:00Z</dcterms:modified>
</cp:coreProperties>
</file>